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602" w:rsidRDefault="00FE1602">
      <w: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411pt;height:31.5pt" fillcolor="#99f" stroked="f">
            <v:fill color2="#099" focus="100%" type="gradient"/>
            <v:shadow on="t" color="silver" opacity="52429f" offset="3pt,3pt"/>
            <v:textpath style="font-family:&quot;Times New Roman&quot;;font-size:20pt;v-text-kern:t" trim="t" fitpath="t" xscale="f" string="Acids and Bases and the Neutralization Thereof…"/>
          </v:shape>
        </w:pict>
      </w:r>
    </w:p>
    <w:p w:rsidR="00D24BCB" w:rsidRPr="00FE1602" w:rsidRDefault="00FE1602">
      <w:pPr>
        <w:rPr>
          <w:sz w:val="24"/>
          <w:szCs w:val="24"/>
        </w:rPr>
      </w:pPr>
      <w:r>
        <w:rPr>
          <w:noProof/>
          <w:sz w:val="24"/>
          <w:szCs w:val="24"/>
        </w:rPr>
        <w:pict>
          <v:rect id="_x0000_s1027" style="position:absolute;margin-left:270.75pt;margin-top:35.25pt;width:198pt;height:39.75pt;z-index:251659264"/>
        </w:pict>
      </w:r>
      <w:r w:rsidR="00D24BCB" w:rsidRPr="00FE1602">
        <w:rPr>
          <w:sz w:val="24"/>
          <w:szCs w:val="24"/>
        </w:rPr>
        <w:t xml:space="preserve">Use this link </w:t>
      </w:r>
      <w:r w:rsidR="00D24BCB">
        <w:t>(</w:t>
      </w:r>
      <w:hyperlink r:id="rId5" w:history="1">
        <w:r w:rsidR="00D24BCB" w:rsidRPr="00284021">
          <w:rPr>
            <w:rStyle w:val="Hyperlink"/>
          </w:rPr>
          <w:t>http://www.chemguide.co.uk/physical/acidbaseeqia/theories.html</w:t>
        </w:r>
      </w:hyperlink>
      <w:proofErr w:type="gramStart"/>
      <w:r w:rsidR="00D24BCB">
        <w:t xml:space="preserve"> </w:t>
      </w:r>
      <w:proofErr w:type="gramEnd"/>
      <w:r w:rsidR="00D24BCB">
        <w:t xml:space="preserve"> ) </w:t>
      </w:r>
      <w:r w:rsidR="00D24BCB" w:rsidRPr="00FE1602">
        <w:rPr>
          <w:sz w:val="24"/>
          <w:szCs w:val="24"/>
        </w:rPr>
        <w:t>to complete these sentences.</w:t>
      </w:r>
    </w:p>
    <w:p w:rsidR="00D24BCB" w:rsidRPr="00FE1602" w:rsidRDefault="00D24BCB">
      <w:pPr>
        <w:rPr>
          <w:sz w:val="24"/>
          <w:szCs w:val="24"/>
        </w:rPr>
      </w:pPr>
      <w:r w:rsidRPr="00FE1602">
        <w:rPr>
          <w:sz w:val="24"/>
          <w:szCs w:val="24"/>
        </w:rPr>
        <w:t xml:space="preserve">According to the Arrhenius theory acids are defined as </w:t>
      </w:r>
    </w:p>
    <w:p w:rsidR="00FE1602" w:rsidRDefault="00FE1602">
      <w:pPr>
        <w:rPr>
          <w:sz w:val="24"/>
          <w:szCs w:val="24"/>
        </w:rPr>
      </w:pPr>
      <w:r>
        <w:rPr>
          <w:noProof/>
          <w:sz w:val="24"/>
          <w:szCs w:val="24"/>
        </w:rPr>
        <w:pict>
          <v:rect id="_x0000_s1028" style="position:absolute;margin-left:126pt;margin-top:21.7pt;width:351.75pt;height:28.5pt;z-index:251660288"/>
        </w:pict>
      </w:r>
    </w:p>
    <w:p w:rsidR="00D24BCB" w:rsidRPr="00FE1602" w:rsidRDefault="00D24BCB">
      <w:pPr>
        <w:rPr>
          <w:sz w:val="24"/>
          <w:szCs w:val="24"/>
        </w:rPr>
      </w:pPr>
      <w:proofErr w:type="gramStart"/>
      <w:r w:rsidRPr="00FE1602">
        <w:rPr>
          <w:sz w:val="24"/>
          <w:szCs w:val="24"/>
        </w:rPr>
        <w:t>and</w:t>
      </w:r>
      <w:proofErr w:type="gramEnd"/>
      <w:r w:rsidRPr="00FE1602">
        <w:rPr>
          <w:sz w:val="24"/>
          <w:szCs w:val="24"/>
        </w:rPr>
        <w:t xml:space="preserve"> bases are defined as</w:t>
      </w:r>
    </w:p>
    <w:p w:rsidR="00D24BCB" w:rsidRPr="00FE1602" w:rsidRDefault="00FE1602">
      <w:pPr>
        <w:rPr>
          <w:sz w:val="24"/>
          <w:szCs w:val="24"/>
        </w:rPr>
      </w:pPr>
      <w:r>
        <w:rPr>
          <w:noProof/>
          <w:sz w:val="24"/>
          <w:szCs w:val="24"/>
        </w:rPr>
        <w:pict>
          <v:oval id="_x0000_s1030" style="position:absolute;margin-left:423pt;margin-top:22.75pt;width:34.5pt;height:35.25pt;z-index:251662336"/>
        </w:pict>
      </w:r>
      <w:r>
        <w:rPr>
          <w:noProof/>
          <w:sz w:val="24"/>
          <w:szCs w:val="24"/>
        </w:rPr>
        <w:pict>
          <v:oval id="_x0000_s1031" style="position:absolute;margin-left:320.25pt;margin-top:22.75pt;width:34.5pt;height:35.25pt;z-index:251663360"/>
        </w:pict>
      </w:r>
      <w:r>
        <w:rPr>
          <w:noProof/>
          <w:sz w:val="24"/>
          <w:szCs w:val="24"/>
        </w:rPr>
        <w:pict>
          <v:oval id="_x0000_s1032" style="position:absolute;margin-left:208.5pt;margin-top:22.75pt;width:34.5pt;height:35.25pt;z-index:251664384"/>
        </w:pict>
      </w:r>
      <w:r>
        <w:rPr>
          <w:noProof/>
          <w:sz w:val="24"/>
          <w:szCs w:val="24"/>
        </w:rPr>
        <w:pict>
          <v:oval id="_x0000_s1029" style="position:absolute;margin-left:54.75pt;margin-top:22pt;width:34.5pt;height:35.25pt;z-index:251661312"/>
        </w:pict>
      </w:r>
      <w:r w:rsidR="00D24BCB" w:rsidRPr="00FE1602">
        <w:rPr>
          <w:sz w:val="24"/>
          <w:szCs w:val="24"/>
        </w:rPr>
        <w:t>Use these definitions to identify the following as acid (A), basic (B), or neither (N).</w:t>
      </w:r>
    </w:p>
    <w:p w:rsidR="00D24BCB" w:rsidRPr="00FE1602" w:rsidRDefault="00D24BCB">
      <w:pPr>
        <w:rPr>
          <w:sz w:val="24"/>
          <w:szCs w:val="24"/>
        </w:rPr>
      </w:pPr>
      <w:r w:rsidRPr="00FE1602">
        <w:rPr>
          <w:sz w:val="24"/>
          <w:szCs w:val="24"/>
        </w:rPr>
        <w:t xml:space="preserve">       </w:t>
      </w:r>
      <w:proofErr w:type="spellStart"/>
      <w:r w:rsidRPr="00FE1602">
        <w:rPr>
          <w:sz w:val="24"/>
          <w:szCs w:val="24"/>
        </w:rPr>
        <w:t>HBr</w:t>
      </w:r>
      <w:proofErr w:type="spellEnd"/>
      <w:r w:rsidRPr="00FE1602">
        <w:rPr>
          <w:sz w:val="24"/>
          <w:szCs w:val="24"/>
        </w:rPr>
        <w:tab/>
      </w:r>
      <w:r w:rsidRPr="00FE1602">
        <w:rPr>
          <w:sz w:val="24"/>
          <w:szCs w:val="24"/>
        </w:rPr>
        <w:tab/>
      </w:r>
      <w:r w:rsidRPr="00FE1602">
        <w:rPr>
          <w:sz w:val="24"/>
          <w:szCs w:val="24"/>
        </w:rPr>
        <w:tab/>
      </w:r>
      <w:r w:rsidRPr="00FE1602">
        <w:rPr>
          <w:sz w:val="24"/>
          <w:szCs w:val="24"/>
        </w:rPr>
        <w:tab/>
        <w:t>KOH</w:t>
      </w:r>
      <w:r w:rsidRPr="00FE1602">
        <w:rPr>
          <w:sz w:val="24"/>
          <w:szCs w:val="24"/>
        </w:rPr>
        <w:tab/>
      </w:r>
      <w:r w:rsidRPr="00FE1602">
        <w:rPr>
          <w:sz w:val="24"/>
          <w:szCs w:val="24"/>
        </w:rPr>
        <w:tab/>
      </w:r>
      <w:r w:rsidRPr="00FE1602">
        <w:rPr>
          <w:sz w:val="24"/>
          <w:szCs w:val="24"/>
        </w:rPr>
        <w:tab/>
        <w:t>NH</w:t>
      </w:r>
      <w:r w:rsidRPr="00FE1602">
        <w:rPr>
          <w:sz w:val="24"/>
          <w:szCs w:val="24"/>
          <w:vertAlign w:val="subscript"/>
        </w:rPr>
        <w:t>3</w:t>
      </w:r>
      <w:r w:rsidRPr="00FE1602">
        <w:rPr>
          <w:sz w:val="24"/>
          <w:szCs w:val="24"/>
        </w:rPr>
        <w:tab/>
      </w:r>
      <w:r w:rsidRPr="00FE1602">
        <w:rPr>
          <w:sz w:val="24"/>
          <w:szCs w:val="24"/>
        </w:rPr>
        <w:tab/>
      </w:r>
      <w:r w:rsidRPr="00FE1602">
        <w:rPr>
          <w:sz w:val="24"/>
          <w:szCs w:val="24"/>
        </w:rPr>
        <w:tab/>
        <w:t>H</w:t>
      </w:r>
      <w:r w:rsidRPr="00FE1602">
        <w:rPr>
          <w:sz w:val="24"/>
          <w:szCs w:val="24"/>
          <w:vertAlign w:val="subscript"/>
        </w:rPr>
        <w:t>2</w:t>
      </w:r>
      <w:r w:rsidRPr="00FE1602">
        <w:rPr>
          <w:sz w:val="24"/>
          <w:szCs w:val="24"/>
        </w:rPr>
        <w:t>O</w:t>
      </w:r>
    </w:p>
    <w:p w:rsidR="00D24BCB" w:rsidRPr="00FE1602" w:rsidRDefault="00D24BCB">
      <w:pPr>
        <w:rPr>
          <w:sz w:val="24"/>
          <w:szCs w:val="24"/>
        </w:rPr>
      </w:pPr>
    </w:p>
    <w:p w:rsidR="00FE1602" w:rsidRDefault="00FE1602">
      <w:pPr>
        <w:rPr>
          <w:sz w:val="24"/>
          <w:szCs w:val="24"/>
        </w:rPr>
      </w:pPr>
      <w:r>
        <w:rPr>
          <w:noProof/>
          <w:sz w:val="24"/>
          <w:szCs w:val="24"/>
        </w:rPr>
        <w:pict>
          <v:rect id="_x0000_s1033" style="position:absolute;margin-left:114.75pt;margin-top:18.7pt;width:198pt;height:39.75pt;z-index:251665408"/>
        </w:pict>
      </w:r>
      <w:r w:rsidR="00D24BCB" w:rsidRPr="00FE1602">
        <w:rPr>
          <w:sz w:val="24"/>
          <w:szCs w:val="24"/>
        </w:rPr>
        <w:t xml:space="preserve">A second acid-base theory was formulated by Lowry and </w:t>
      </w:r>
      <w:proofErr w:type="spellStart"/>
      <w:r w:rsidR="00D24BCB" w:rsidRPr="00FE1602">
        <w:rPr>
          <w:sz w:val="24"/>
          <w:szCs w:val="24"/>
        </w:rPr>
        <w:t>Bronsted</w:t>
      </w:r>
      <w:proofErr w:type="spellEnd"/>
      <w:r w:rsidR="00D24BCB" w:rsidRPr="00FE1602">
        <w:rPr>
          <w:sz w:val="24"/>
          <w:szCs w:val="24"/>
        </w:rPr>
        <w:t>.  The Lowry-</w:t>
      </w:r>
      <w:proofErr w:type="spellStart"/>
      <w:r w:rsidR="00D24BCB" w:rsidRPr="00FE1602">
        <w:rPr>
          <w:sz w:val="24"/>
          <w:szCs w:val="24"/>
        </w:rPr>
        <w:t>Bronsted</w:t>
      </w:r>
      <w:proofErr w:type="spellEnd"/>
      <w:r w:rsidR="00D24BCB" w:rsidRPr="00FE1602">
        <w:rPr>
          <w:sz w:val="24"/>
          <w:szCs w:val="24"/>
        </w:rPr>
        <w:t xml:space="preserve"> theory</w:t>
      </w:r>
    </w:p>
    <w:p w:rsidR="004D357B" w:rsidRDefault="00D24BCB">
      <w:pPr>
        <w:rPr>
          <w:sz w:val="24"/>
          <w:szCs w:val="24"/>
        </w:rPr>
      </w:pPr>
      <w:proofErr w:type="gramStart"/>
      <w:r w:rsidRPr="00FE1602">
        <w:rPr>
          <w:sz w:val="24"/>
          <w:szCs w:val="24"/>
        </w:rPr>
        <w:t>states</w:t>
      </w:r>
      <w:proofErr w:type="gramEnd"/>
      <w:r w:rsidRPr="00FE1602">
        <w:rPr>
          <w:sz w:val="24"/>
          <w:szCs w:val="24"/>
        </w:rPr>
        <w:t xml:space="preserve"> that </w:t>
      </w:r>
      <w:r w:rsidRPr="004D357B">
        <w:rPr>
          <w:b/>
          <w:sz w:val="28"/>
          <w:szCs w:val="28"/>
        </w:rPr>
        <w:t>acids are</w:t>
      </w:r>
      <w:r w:rsidRPr="00FE1602">
        <w:rPr>
          <w:sz w:val="24"/>
          <w:szCs w:val="24"/>
        </w:rPr>
        <w:t xml:space="preserve"> </w:t>
      </w:r>
      <w:r w:rsidRPr="00FE1602">
        <w:rPr>
          <w:sz w:val="24"/>
          <w:szCs w:val="24"/>
        </w:rPr>
        <w:tab/>
      </w:r>
      <w:r w:rsidRPr="00FE1602">
        <w:rPr>
          <w:sz w:val="24"/>
          <w:szCs w:val="24"/>
        </w:rPr>
        <w:tab/>
      </w:r>
      <w:r w:rsidRPr="00FE1602">
        <w:rPr>
          <w:sz w:val="24"/>
          <w:szCs w:val="24"/>
        </w:rPr>
        <w:tab/>
      </w:r>
      <w:r w:rsidRPr="00FE1602">
        <w:rPr>
          <w:sz w:val="24"/>
          <w:szCs w:val="24"/>
        </w:rPr>
        <w:tab/>
      </w:r>
      <w:r w:rsidRPr="00FE1602">
        <w:rPr>
          <w:sz w:val="24"/>
          <w:szCs w:val="24"/>
        </w:rPr>
        <w:tab/>
      </w:r>
      <w:r w:rsidRPr="00FE1602">
        <w:rPr>
          <w:sz w:val="24"/>
          <w:szCs w:val="24"/>
        </w:rPr>
        <w:tab/>
      </w:r>
      <w:r w:rsidRPr="00FE1602">
        <w:rPr>
          <w:sz w:val="24"/>
          <w:szCs w:val="24"/>
        </w:rPr>
        <w:tab/>
      </w:r>
    </w:p>
    <w:p w:rsidR="004D357B" w:rsidRDefault="004D357B">
      <w:pPr>
        <w:rPr>
          <w:sz w:val="24"/>
          <w:szCs w:val="24"/>
        </w:rPr>
      </w:pPr>
      <w:r>
        <w:rPr>
          <w:noProof/>
          <w:sz w:val="24"/>
          <w:szCs w:val="24"/>
        </w:rPr>
        <w:pict>
          <v:rect id="_x0000_s1034" style="position:absolute;margin-left:101.25pt;margin-top:10.05pt;width:198pt;height:39.75pt;z-index:251666432"/>
        </w:pict>
      </w:r>
    </w:p>
    <w:p w:rsidR="00D24BCB" w:rsidRPr="00FE1602" w:rsidRDefault="00D24BCB">
      <w:pPr>
        <w:rPr>
          <w:sz w:val="24"/>
          <w:szCs w:val="24"/>
        </w:rPr>
      </w:pPr>
      <w:proofErr w:type="gramStart"/>
      <w:r w:rsidRPr="00FE1602">
        <w:rPr>
          <w:sz w:val="24"/>
          <w:szCs w:val="24"/>
        </w:rPr>
        <w:t>and</w:t>
      </w:r>
      <w:proofErr w:type="gramEnd"/>
      <w:r w:rsidRPr="00FE1602">
        <w:rPr>
          <w:sz w:val="24"/>
          <w:szCs w:val="24"/>
        </w:rPr>
        <w:t xml:space="preserve"> </w:t>
      </w:r>
      <w:r w:rsidRPr="004D357B">
        <w:rPr>
          <w:b/>
          <w:sz w:val="28"/>
          <w:szCs w:val="28"/>
        </w:rPr>
        <w:t>bases are</w:t>
      </w:r>
      <w:r w:rsidRPr="00FE1602">
        <w:rPr>
          <w:sz w:val="24"/>
          <w:szCs w:val="24"/>
        </w:rPr>
        <w:tab/>
      </w:r>
      <w:r w:rsidRPr="00FE1602">
        <w:rPr>
          <w:sz w:val="24"/>
          <w:szCs w:val="24"/>
        </w:rPr>
        <w:tab/>
      </w:r>
      <w:r w:rsidRPr="00FE1602">
        <w:rPr>
          <w:sz w:val="24"/>
          <w:szCs w:val="24"/>
        </w:rPr>
        <w:tab/>
      </w:r>
      <w:r w:rsidRPr="00FE1602">
        <w:rPr>
          <w:sz w:val="24"/>
          <w:szCs w:val="24"/>
        </w:rPr>
        <w:tab/>
      </w:r>
    </w:p>
    <w:p w:rsidR="004D357B" w:rsidRDefault="004D357B">
      <w:pPr>
        <w:rPr>
          <w:sz w:val="24"/>
          <w:szCs w:val="24"/>
        </w:rPr>
      </w:pPr>
    </w:p>
    <w:p w:rsidR="00D24BCB" w:rsidRPr="00FE1602" w:rsidRDefault="00D24BCB">
      <w:pPr>
        <w:rPr>
          <w:sz w:val="24"/>
          <w:szCs w:val="24"/>
        </w:rPr>
      </w:pPr>
      <w:r w:rsidRPr="00FE1602">
        <w:rPr>
          <w:sz w:val="24"/>
          <w:szCs w:val="24"/>
        </w:rPr>
        <w:t>How can this be?</w:t>
      </w:r>
    </w:p>
    <w:p w:rsidR="00D24BCB" w:rsidRDefault="004D357B">
      <w:r>
        <w:rPr>
          <w:noProof/>
        </w:rPr>
        <w:pict>
          <v:roundrect id="_x0000_s1036" style="position:absolute;margin-left:362.25pt;margin-top:20.8pt;width:42pt;height:24pt;z-index:251668480" arcsize="10923f"/>
        </w:pict>
      </w:r>
      <w:r>
        <w:rPr>
          <w:noProof/>
        </w:rPr>
        <w:pict>
          <v:roundrect id="_x0000_s1035" style="position:absolute;margin-left:274.5pt;margin-top:20.8pt;width:42pt;height:24pt;z-index:251667456" arcsize="10923f"/>
        </w:pict>
      </w:r>
      <w:r w:rsidR="00D24BCB">
        <w:t>Use this link (</w:t>
      </w:r>
      <w:hyperlink r:id="rId6" w:history="1">
        <w:r w:rsidR="00D24BCB" w:rsidRPr="00284021">
          <w:rPr>
            <w:rStyle w:val="Hyperlink"/>
          </w:rPr>
          <w:t>http://www.elmhurst.edu/~chm/vchembook/184ph.html</w:t>
        </w:r>
      </w:hyperlink>
      <w:proofErr w:type="gramStart"/>
      <w:r w:rsidR="00D24BCB">
        <w:t xml:space="preserve"> </w:t>
      </w:r>
      <w:proofErr w:type="gramEnd"/>
      <w:r w:rsidR="00D24BCB">
        <w:t xml:space="preserve"> )  to find out about the pH scale.  </w:t>
      </w:r>
    </w:p>
    <w:p w:rsidR="00D24BCB" w:rsidRDefault="004D357B">
      <w:r>
        <w:rPr>
          <w:noProof/>
        </w:rPr>
        <w:pict>
          <v:roundrect id="_x0000_s1039" style="position:absolute;margin-left:384.75pt;margin-top:23.1pt;width:42pt;height:24pt;z-index:251671552" arcsize="10923f"/>
        </w:pict>
      </w:r>
      <w:r>
        <w:rPr>
          <w:noProof/>
        </w:rPr>
        <w:pict>
          <v:roundrect id="_x0000_s1038" style="position:absolute;margin-left:291pt;margin-top:23.1pt;width:42pt;height:24pt;z-index:251670528" arcsize="10923f"/>
        </w:pict>
      </w:r>
      <w:r>
        <w:rPr>
          <w:noProof/>
        </w:rPr>
        <w:pict>
          <v:roundrect id="_x0000_s1037" style="position:absolute;margin-left:139.5pt;margin-top:19.35pt;width:42pt;height:24pt;z-index:251669504" arcsize="10923f"/>
        </w:pict>
      </w:r>
      <w:r w:rsidR="00D24BCB">
        <w:t>Generally the pH scale is represented by numbers between                            and                                   .</w:t>
      </w:r>
    </w:p>
    <w:p w:rsidR="00D24BCB" w:rsidRDefault="00D24BCB">
      <w:r>
        <w:t xml:space="preserve">Acids have pH </w:t>
      </w:r>
      <w:proofErr w:type="gramStart"/>
      <w:r>
        <w:t>values  below</w:t>
      </w:r>
      <w:proofErr w:type="gramEnd"/>
      <w:r>
        <w:t xml:space="preserve">                        while bases are above                 </w:t>
      </w:r>
      <w:r w:rsidR="004D357B">
        <w:t xml:space="preserve">   </w:t>
      </w:r>
      <w:r>
        <w:t xml:space="preserve">  .  A pH of             </w:t>
      </w:r>
      <w:r w:rsidR="004D357B">
        <w:t xml:space="preserve">        </w:t>
      </w:r>
      <w:r>
        <w:t xml:space="preserve">  is </w:t>
      </w:r>
    </w:p>
    <w:p w:rsidR="00D24BCB" w:rsidRDefault="00D24BCB">
      <w:proofErr w:type="gramStart"/>
      <w:r>
        <w:t>considered</w:t>
      </w:r>
      <w:proofErr w:type="gramEnd"/>
      <w:r>
        <w:t xml:space="preserve"> neutral, neither acidic or basic.</w:t>
      </w:r>
    </w:p>
    <w:p w:rsidR="00D24BCB" w:rsidRDefault="0074096C">
      <w:r>
        <w:rPr>
          <w:noProof/>
        </w:rPr>
        <w:pict>
          <v:shapetype id="_x0000_t202" coordsize="21600,21600" o:spt="202" path="m,l,21600r21600,l21600,xe">
            <v:stroke joinstyle="miter"/>
            <v:path gradientshapeok="t" o:connecttype="rect"/>
          </v:shapetype>
          <v:shape id="_x0000_s1026" type="#_x0000_t202" style="position:absolute;margin-left:-9.75pt;margin-top:16.35pt;width:501pt;height:53.25pt;z-index:251658240">
            <v:textbox>
              <w:txbxContent>
                <w:p w:rsidR="0074096C" w:rsidRDefault="0074096C">
                  <w:r>
                    <w:t>0           1           2           3           4           5           6           7           8           9           10          11          12          13          14</w:t>
                  </w:r>
                </w:p>
              </w:txbxContent>
            </v:textbox>
          </v:shape>
        </w:pict>
      </w:r>
      <w:r>
        <w:t>On this pH scale, write each substance at the pH value it would have.</w:t>
      </w:r>
    </w:p>
    <w:p w:rsidR="0074096C" w:rsidRDefault="0074096C"/>
    <w:p w:rsidR="0074096C" w:rsidRDefault="0074096C"/>
    <w:p w:rsidR="0074096C" w:rsidRDefault="0074096C" w:rsidP="0074096C">
      <w:pPr>
        <w:pStyle w:val="ListParagraph"/>
        <w:numPr>
          <w:ilvl w:val="0"/>
          <w:numId w:val="1"/>
        </w:numPr>
      </w:pPr>
      <w:r>
        <w:t>Lye, B) vinegar, C) water, D) lemon juice, E) ammonia,  F) battery acid,  G) bleach, H) bananas</w:t>
      </w:r>
    </w:p>
    <w:p w:rsidR="0074096C" w:rsidRDefault="0074096C" w:rsidP="0074096C">
      <w:pPr>
        <w:rPr>
          <w:rFonts w:ascii="Arial" w:hAnsi="Arial" w:cs="Arial"/>
          <w:noProof/>
          <w:sz w:val="20"/>
          <w:szCs w:val="20"/>
        </w:rPr>
      </w:pPr>
    </w:p>
    <w:p w:rsidR="004D357B" w:rsidRDefault="004D357B" w:rsidP="0074096C">
      <w:pPr>
        <w:rPr>
          <w:rFonts w:ascii="Arial" w:hAnsi="Arial" w:cs="Arial"/>
          <w:noProof/>
          <w:sz w:val="20"/>
          <w:szCs w:val="20"/>
        </w:rPr>
      </w:pPr>
      <w:r w:rsidRPr="004D357B">
        <w:rPr>
          <w:rFonts w:ascii="Arial" w:hAnsi="Arial" w:cs="Arial"/>
          <w:noProof/>
          <w:sz w:val="20"/>
          <w:szCs w:val="20"/>
        </w:rPr>
        <w:lastRenderedPageBreak/>
        <w:drawing>
          <wp:inline distT="0" distB="0" distL="0" distR="0">
            <wp:extent cx="5457825" cy="4575752"/>
            <wp:effectExtent l="19050" t="0" r="9525" b="0"/>
            <wp:docPr id="2" name="il_fi" descr="http://www.epa.gov/acidrain/education/site_students/images/phsca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pa.gov/acidrain/education/site_students/images/phscale.gif"/>
                    <pic:cNvPicPr>
                      <a:picLocks noChangeAspect="1" noChangeArrowheads="1"/>
                    </pic:cNvPicPr>
                  </pic:nvPicPr>
                  <pic:blipFill>
                    <a:blip r:embed="rId7" cstate="print"/>
                    <a:srcRect/>
                    <a:stretch>
                      <a:fillRect/>
                    </a:stretch>
                  </pic:blipFill>
                  <pic:spPr bwMode="auto">
                    <a:xfrm>
                      <a:off x="0" y="0"/>
                      <a:ext cx="5457825" cy="4575752"/>
                    </a:xfrm>
                    <a:prstGeom prst="rect">
                      <a:avLst/>
                    </a:prstGeom>
                    <a:noFill/>
                    <a:ln w="9525">
                      <a:noFill/>
                      <a:miter lim="800000"/>
                      <a:headEnd/>
                      <a:tailEnd/>
                    </a:ln>
                  </pic:spPr>
                </pic:pic>
              </a:graphicData>
            </a:graphic>
          </wp:inline>
        </w:drawing>
      </w:r>
    </w:p>
    <w:p w:rsidR="004D357B" w:rsidRDefault="004D357B" w:rsidP="0074096C">
      <w:pPr>
        <w:rPr>
          <w:rFonts w:ascii="Arial" w:hAnsi="Arial" w:cs="Arial"/>
          <w:noProof/>
          <w:sz w:val="20"/>
          <w:szCs w:val="20"/>
        </w:rPr>
      </w:pPr>
      <w:r>
        <w:rPr>
          <w:rFonts w:ascii="Arial" w:hAnsi="Arial" w:cs="Arial"/>
          <w:noProof/>
          <w:sz w:val="20"/>
          <w:szCs w:val="20"/>
        </w:rPr>
        <w:t>Use the chart above and the following scenario:</w:t>
      </w:r>
    </w:p>
    <w:p w:rsidR="00024710" w:rsidRDefault="004D357B" w:rsidP="00024710">
      <w:pPr>
        <w:pStyle w:val="NormalWeb"/>
        <w:numPr>
          <w:ilvl w:val="0"/>
          <w:numId w:val="2"/>
        </w:numPr>
        <w:spacing w:before="225" w:beforeAutospacing="0"/>
        <w:rPr>
          <w:rFonts w:cs="Arial"/>
          <w:noProof/>
        </w:rPr>
      </w:pPr>
      <w:r w:rsidRPr="004D357B">
        <w:rPr>
          <w:b/>
          <w:bCs/>
          <w:color w:val="008000"/>
        </w:rPr>
        <w:t>Copperas Rocks</w:t>
      </w:r>
      <w:r w:rsidRPr="004D357B">
        <w:rPr>
          <w:b/>
          <w:bCs/>
        </w:rPr>
        <w:t xml:space="preserve"> </w:t>
      </w:r>
      <w:r>
        <w:t xml:space="preserve">is named for the coppery-yellow stain on the cliff surface. The crystalline, yellow precipitate is ferrous sulfate that leaches from a small pocket of coal. Although this substance is one of the main pollutants in acid mine drainage, the small quantity here is not harmful to the stream. The small cave at the bottom of the cliff was probably made by early settlers who used ferrous sulfate as a mordant for setting the dye color in cloth. </w:t>
      </w:r>
      <w:r w:rsidR="00024710">
        <w:t xml:space="preserve">  While the settlers may have found the ferrous sulfate useful for dying purposes the presence of the Fe</w:t>
      </w:r>
      <w:r w:rsidR="00024710">
        <w:rPr>
          <w:vertAlign w:val="superscript"/>
        </w:rPr>
        <w:t>+2</w:t>
      </w:r>
      <w:r w:rsidR="00024710">
        <w:t xml:space="preserve"> ion in the water causes a great problem.  When the ferrous ion is dissolved in the creek water the following reaction takes place:</w:t>
      </w:r>
      <w:r w:rsidR="00024710">
        <w:rPr>
          <w:rFonts w:ascii="Arial" w:hAnsi="Arial" w:cs="Arial"/>
          <w:noProof/>
        </w:rPr>
        <w:t xml:space="preserve">         </w:t>
      </w:r>
      <w:r w:rsidR="00024710">
        <w:rPr>
          <w:rFonts w:ascii="Arial" w:hAnsi="Arial" w:cs="Arial"/>
          <w:noProof/>
        </w:rPr>
        <w:tab/>
      </w:r>
      <w:r w:rsidR="00024710">
        <w:rPr>
          <w:rFonts w:ascii="Arial" w:hAnsi="Arial" w:cs="Arial"/>
          <w:noProof/>
        </w:rPr>
        <w:tab/>
      </w:r>
      <w:r w:rsidR="00024710">
        <w:rPr>
          <w:rFonts w:ascii="Arial" w:hAnsi="Arial" w:cs="Arial"/>
          <w:noProof/>
        </w:rPr>
        <w:tab/>
      </w:r>
      <w:r w:rsidR="00024710">
        <w:rPr>
          <w:rFonts w:ascii="Arial" w:hAnsi="Arial" w:cs="Arial"/>
          <w:noProof/>
        </w:rPr>
        <w:tab/>
      </w:r>
      <w:r w:rsidR="00024710">
        <w:rPr>
          <w:rFonts w:ascii="Arial" w:hAnsi="Arial" w:cs="Arial"/>
          <w:noProof/>
        </w:rPr>
        <w:tab/>
      </w:r>
      <w:r w:rsidR="00024710">
        <w:rPr>
          <w:rFonts w:ascii="Arial" w:hAnsi="Arial" w:cs="Arial"/>
          <w:noProof/>
        </w:rPr>
        <w:tab/>
        <w:t xml:space="preserve">   </w:t>
      </w:r>
      <w:r w:rsidR="00024710" w:rsidRPr="00024710">
        <w:rPr>
          <w:rFonts w:ascii="Arial" w:hAnsi="Arial" w:cs="Arial"/>
          <w:b/>
          <w:noProof/>
          <w:sz w:val="24"/>
          <w:szCs w:val="24"/>
        </w:rPr>
        <w:t>Fe</w:t>
      </w:r>
      <w:r w:rsidR="00024710" w:rsidRPr="00024710">
        <w:rPr>
          <w:rFonts w:ascii="Arial" w:hAnsi="Arial" w:cs="Arial"/>
          <w:b/>
          <w:noProof/>
          <w:sz w:val="24"/>
          <w:szCs w:val="24"/>
          <w:vertAlign w:val="superscript"/>
        </w:rPr>
        <w:t>+2</w:t>
      </w:r>
      <w:r w:rsidR="00024710" w:rsidRPr="00024710">
        <w:rPr>
          <w:rFonts w:ascii="Arial" w:hAnsi="Arial" w:cs="Arial"/>
          <w:b/>
          <w:noProof/>
          <w:sz w:val="24"/>
          <w:szCs w:val="24"/>
        </w:rPr>
        <w:t xml:space="preserve">   +   2 HOH  </w:t>
      </w:r>
      <w:r w:rsidR="00024710" w:rsidRPr="00024710">
        <w:rPr>
          <w:rFonts w:ascii="Arial" w:hAnsi="Arial" w:cs="Arial"/>
          <w:b/>
          <w:noProof/>
          <w:sz w:val="24"/>
          <w:szCs w:val="24"/>
        </w:rPr>
        <w:sym w:font="Wingdings" w:char="F0E0"/>
      </w:r>
      <w:r w:rsidR="00024710" w:rsidRPr="00024710">
        <w:rPr>
          <w:rFonts w:ascii="Arial" w:hAnsi="Arial" w:cs="Arial"/>
          <w:b/>
          <w:noProof/>
          <w:sz w:val="24"/>
          <w:szCs w:val="24"/>
        </w:rPr>
        <w:t xml:space="preserve">  Fe(OH)</w:t>
      </w:r>
      <w:r w:rsidR="00024710" w:rsidRPr="00024710">
        <w:rPr>
          <w:rFonts w:ascii="Arial" w:hAnsi="Arial" w:cs="Arial"/>
          <w:b/>
          <w:noProof/>
          <w:sz w:val="24"/>
          <w:szCs w:val="24"/>
          <w:vertAlign w:val="subscript"/>
        </w:rPr>
        <w:t>2</w:t>
      </w:r>
      <w:r w:rsidR="00024710" w:rsidRPr="00024710">
        <w:rPr>
          <w:rFonts w:ascii="Arial" w:hAnsi="Arial" w:cs="Arial"/>
          <w:b/>
          <w:noProof/>
          <w:sz w:val="24"/>
          <w:szCs w:val="24"/>
        </w:rPr>
        <w:t xml:space="preserve">  +   2  H</w:t>
      </w:r>
      <w:r w:rsidR="00024710" w:rsidRPr="00024710">
        <w:rPr>
          <w:rFonts w:ascii="Arial" w:hAnsi="Arial" w:cs="Arial"/>
          <w:b/>
          <w:noProof/>
          <w:sz w:val="24"/>
          <w:szCs w:val="24"/>
          <w:vertAlign w:val="superscript"/>
        </w:rPr>
        <w:t>+1</w:t>
      </w:r>
      <w:r w:rsidR="00024710" w:rsidRPr="00024710">
        <w:rPr>
          <w:rFonts w:ascii="Arial" w:hAnsi="Arial" w:cs="Arial"/>
          <w:b/>
          <w:noProof/>
          <w:sz w:val="24"/>
          <w:szCs w:val="24"/>
        </w:rPr>
        <w:t xml:space="preserve">  </w:t>
      </w:r>
      <w:r w:rsidR="00024710">
        <w:rPr>
          <w:rFonts w:ascii="Arial" w:hAnsi="Arial" w:cs="Arial"/>
          <w:noProof/>
        </w:rPr>
        <w:tab/>
      </w:r>
      <w:r w:rsidR="00024710">
        <w:rPr>
          <w:rFonts w:ascii="Arial" w:hAnsi="Arial" w:cs="Arial"/>
          <w:noProof/>
        </w:rPr>
        <w:tab/>
      </w:r>
      <w:r w:rsidR="00024710">
        <w:rPr>
          <w:rFonts w:ascii="Arial" w:hAnsi="Arial" w:cs="Arial"/>
          <w:noProof/>
        </w:rPr>
        <w:tab/>
      </w:r>
      <w:r w:rsidR="00024710">
        <w:rPr>
          <w:rFonts w:ascii="Arial" w:hAnsi="Arial" w:cs="Arial"/>
          <w:noProof/>
        </w:rPr>
        <w:tab/>
        <w:t xml:space="preserve">        </w:t>
      </w:r>
      <w:r w:rsidR="00024710" w:rsidRPr="007C7CDC">
        <w:rPr>
          <w:rFonts w:cs="Arial"/>
          <w:noProof/>
        </w:rPr>
        <w:t>This iron (II) ion reacts with the water to produce a surplus of H</w:t>
      </w:r>
      <w:r w:rsidR="00024710" w:rsidRPr="007C7CDC">
        <w:rPr>
          <w:rFonts w:cs="Arial"/>
          <w:noProof/>
          <w:vertAlign w:val="superscript"/>
        </w:rPr>
        <w:t>+1</w:t>
      </w:r>
      <w:r w:rsidR="00024710" w:rsidRPr="007C7CDC">
        <w:rPr>
          <w:rFonts w:cs="Arial"/>
          <w:noProof/>
        </w:rPr>
        <w:t xml:space="preserve"> ions making the creek acidic (according to Arrhenius).  </w:t>
      </w:r>
      <w:r w:rsidR="007C7CDC" w:rsidRPr="007C7CDC">
        <w:rPr>
          <w:rFonts w:cs="Arial"/>
          <w:noProof/>
        </w:rPr>
        <w:t>This ac</w:t>
      </w:r>
      <w:r w:rsidR="007C7CDC">
        <w:rPr>
          <w:rFonts w:cs="Arial"/>
          <w:noProof/>
        </w:rPr>
        <w:t xml:space="preserve">tion is similar to a pollution commonly known as “acid mine drainage.”  Iron ions leech from the abandoned mine (often left over from coal samples) into streams and creeks.  </w:t>
      </w:r>
    </w:p>
    <w:p w:rsidR="007C7CDC" w:rsidRDefault="007C7CDC" w:rsidP="007C7CDC">
      <w:pPr>
        <w:pStyle w:val="NormalWeb"/>
        <w:spacing w:before="225" w:beforeAutospacing="0"/>
        <w:ind w:left="360"/>
        <w:rPr>
          <w:b/>
          <w:bCs/>
          <w:color w:val="008000"/>
        </w:rPr>
      </w:pPr>
      <w:r>
        <w:rPr>
          <w:b/>
          <w:bCs/>
          <w:color w:val="008000"/>
        </w:rPr>
        <w:t>Why might “mine drainage” be a serious problem for wildlife that live in a stream?</w:t>
      </w:r>
    </w:p>
    <w:p w:rsidR="007C7CDC" w:rsidRPr="007C7CDC" w:rsidRDefault="007C7CDC" w:rsidP="007C7CDC">
      <w:pPr>
        <w:pStyle w:val="NormalWeb"/>
        <w:spacing w:before="225" w:beforeAutospacing="0"/>
        <w:ind w:left="360"/>
        <w:rPr>
          <w:rFonts w:cs="Arial"/>
          <w:noProof/>
        </w:rPr>
      </w:pPr>
    </w:p>
    <w:p w:rsidR="004D357B" w:rsidRDefault="004D357B" w:rsidP="0074096C">
      <w:pPr>
        <w:rPr>
          <w:rFonts w:ascii="Arial" w:hAnsi="Arial" w:cs="Arial"/>
          <w:noProof/>
          <w:sz w:val="20"/>
          <w:szCs w:val="20"/>
        </w:rPr>
      </w:pPr>
    </w:p>
    <w:p w:rsidR="004D357B" w:rsidRPr="00D24BCB" w:rsidRDefault="004D357B" w:rsidP="0074096C"/>
    <w:sectPr w:rsidR="004D357B" w:rsidRPr="00D24BCB" w:rsidSect="00D861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20C02"/>
    <w:multiLevelType w:val="multilevel"/>
    <w:tmpl w:val="D83C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F4F17"/>
    <w:multiLevelType w:val="hybridMultilevel"/>
    <w:tmpl w:val="A95818E2"/>
    <w:lvl w:ilvl="0" w:tplc="1E4A58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4BCB"/>
    <w:rsid w:val="00024710"/>
    <w:rsid w:val="004D357B"/>
    <w:rsid w:val="00654824"/>
    <w:rsid w:val="0074096C"/>
    <w:rsid w:val="007C7CDC"/>
    <w:rsid w:val="00D24BCB"/>
    <w:rsid w:val="00D86140"/>
    <w:rsid w:val="00FE1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BCB"/>
    <w:rPr>
      <w:color w:val="0000FF" w:themeColor="hyperlink"/>
      <w:u w:val="single"/>
    </w:rPr>
  </w:style>
  <w:style w:type="paragraph" w:styleId="ListParagraph">
    <w:name w:val="List Paragraph"/>
    <w:basedOn w:val="Normal"/>
    <w:uiPriority w:val="34"/>
    <w:qFormat/>
    <w:rsid w:val="0074096C"/>
    <w:pPr>
      <w:ind w:left="720"/>
      <w:contextualSpacing/>
    </w:pPr>
  </w:style>
  <w:style w:type="paragraph" w:styleId="BalloonText">
    <w:name w:val="Balloon Text"/>
    <w:basedOn w:val="Normal"/>
    <w:link w:val="BalloonTextChar"/>
    <w:uiPriority w:val="99"/>
    <w:semiHidden/>
    <w:unhideWhenUsed/>
    <w:rsid w:val="007409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96C"/>
    <w:rPr>
      <w:rFonts w:ascii="Tahoma" w:hAnsi="Tahoma" w:cs="Tahoma"/>
      <w:sz w:val="16"/>
      <w:szCs w:val="16"/>
    </w:rPr>
  </w:style>
  <w:style w:type="paragraph" w:styleId="NormalWeb">
    <w:name w:val="Normal (Web)"/>
    <w:basedOn w:val="Normal"/>
    <w:uiPriority w:val="99"/>
    <w:unhideWhenUsed/>
    <w:rsid w:val="004D357B"/>
    <w:pPr>
      <w:spacing w:before="100" w:beforeAutospacing="1" w:after="100" w:afterAutospacing="1" w:line="240" w:lineRule="atLeast"/>
    </w:pPr>
    <w:rPr>
      <w:rFonts w:ascii="Comic Sans MS" w:eastAsia="Times New Roman" w:hAnsi="Comic Sans MS"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mhurst.edu/~chm/vchembook/184ph.html" TargetMode="External"/><Relationship Id="rId5" Type="http://schemas.openxmlformats.org/officeDocument/2006/relationships/hyperlink" Target="http://www.chemguide.co.uk/physical/acidbaseeqia/theori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MUASD</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jvogus</dc:creator>
  <cp:keywords/>
  <dc:description/>
  <cp:lastModifiedBy>jvogus</cp:lastModifiedBy>
  <cp:revision>2</cp:revision>
  <dcterms:created xsi:type="dcterms:W3CDTF">2012-01-11T23:18:00Z</dcterms:created>
  <dcterms:modified xsi:type="dcterms:W3CDTF">2012-01-11T23:18:00Z</dcterms:modified>
</cp:coreProperties>
</file>